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4" w:rsidRPr="00A40E14" w:rsidRDefault="00A40E14" w:rsidP="00A40E14">
      <w:pPr>
        <w:spacing w:after="0" w:line="240" w:lineRule="auto"/>
        <w:rPr>
          <w:rFonts w:ascii="TitilliumRegular" w:eastAsia="Times New Roman" w:hAnsi="TitilliumRegular" w:cs="Arial"/>
          <w:color w:val="6D6D6D"/>
          <w:sz w:val="24"/>
          <w:szCs w:val="24"/>
        </w:rPr>
      </w:pPr>
      <w:bookmarkStart w:id="0" w:name="_GoBack"/>
      <w:bookmarkEnd w:id="0"/>
    </w:p>
    <w:p w:rsidR="00363A9B" w:rsidRDefault="00363A9B" w:rsidP="00A40E14">
      <w:pPr>
        <w:spacing w:before="100" w:beforeAutospacing="1" w:after="100" w:afterAutospacing="1" w:line="240" w:lineRule="auto"/>
        <w:outlineLvl w:val="1"/>
        <w:rPr>
          <w:rFonts w:ascii="Arial" w:eastAsia="Times New Roman" w:hAnsi="Arial" w:cs="Arial"/>
          <w:b/>
          <w:bCs/>
          <w:i/>
          <w:iCs/>
          <w:color w:val="343434"/>
          <w:sz w:val="40"/>
          <w:szCs w:val="40"/>
        </w:rPr>
      </w:pPr>
      <w:r>
        <w:rPr>
          <w:rFonts w:ascii="Arial" w:eastAsia="Times New Roman" w:hAnsi="Arial" w:cs="Arial"/>
          <w:b/>
          <w:bCs/>
          <w:i/>
          <w:iCs/>
          <w:color w:val="343434"/>
          <w:sz w:val="40"/>
          <w:szCs w:val="40"/>
        </w:rPr>
        <w:t>BIZARRE SUPREME COURT CASES</w:t>
      </w:r>
    </w:p>
    <w:p w:rsidR="00A40E14" w:rsidRPr="00A40E14" w:rsidRDefault="00A40E14" w:rsidP="00A40E14">
      <w:pPr>
        <w:spacing w:before="100" w:beforeAutospacing="1" w:after="100" w:afterAutospacing="1" w:line="240" w:lineRule="auto"/>
        <w:outlineLvl w:val="1"/>
        <w:rPr>
          <w:rFonts w:ascii="Arial" w:eastAsia="Times New Roman" w:hAnsi="Arial" w:cs="Arial"/>
          <w:b/>
          <w:bCs/>
          <w:color w:val="343434"/>
          <w:sz w:val="40"/>
          <w:szCs w:val="40"/>
        </w:rPr>
      </w:pPr>
      <w:r w:rsidRPr="00A40E14">
        <w:rPr>
          <w:rFonts w:ascii="Arial" w:eastAsia="Times New Roman" w:hAnsi="Arial" w:cs="Arial"/>
          <w:b/>
          <w:bCs/>
          <w:i/>
          <w:iCs/>
          <w:color w:val="343434"/>
          <w:sz w:val="40"/>
          <w:szCs w:val="40"/>
        </w:rPr>
        <w:t xml:space="preserve">United States v. </w:t>
      </w:r>
      <w:proofErr w:type="spellStart"/>
      <w:r w:rsidRPr="00A40E14">
        <w:rPr>
          <w:rFonts w:ascii="Arial" w:eastAsia="Times New Roman" w:hAnsi="Arial" w:cs="Arial"/>
          <w:b/>
          <w:bCs/>
          <w:i/>
          <w:iCs/>
          <w:color w:val="343434"/>
          <w:sz w:val="40"/>
          <w:szCs w:val="40"/>
        </w:rPr>
        <w:t>Causby</w:t>
      </w:r>
      <w:proofErr w:type="spellEnd"/>
      <w:r w:rsidR="00363A9B">
        <w:rPr>
          <w:rFonts w:ascii="Arial" w:eastAsia="Times New Roman" w:hAnsi="Arial" w:cs="Arial"/>
          <w:b/>
          <w:bCs/>
          <w:i/>
          <w:iCs/>
          <w:color w:val="343434"/>
          <w:sz w:val="40"/>
          <w:szCs w:val="40"/>
        </w:rPr>
        <w:t xml:space="preserve"> (1946)</w:t>
      </w:r>
      <w:r w:rsidRPr="00A40E14">
        <w:rPr>
          <w:rFonts w:ascii="Arial" w:eastAsia="Times New Roman" w:hAnsi="Arial" w:cs="Arial"/>
          <w:b/>
          <w:bCs/>
          <w:color w:val="343434"/>
          <w:sz w:val="40"/>
          <w:szCs w:val="40"/>
        </w:rPr>
        <w:br/>
      </w:r>
    </w:p>
    <w:p w:rsidR="008D0243" w:rsidRPr="008D0243" w:rsidRDefault="008D0243" w:rsidP="008D0243">
      <w:pPr>
        <w:spacing w:before="100" w:beforeAutospacing="1" w:after="100" w:afterAutospacing="1" w:line="240" w:lineRule="auto"/>
        <w:rPr>
          <w:rFonts w:ascii="Arial" w:eastAsia="Calibri" w:hAnsi="Arial" w:cs="Arial"/>
          <w:b/>
          <w:sz w:val="28"/>
          <w:szCs w:val="28"/>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7620</wp:posOffset>
                </wp:positionV>
                <wp:extent cx="3413760" cy="2636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636520"/>
                        </a:xfrm>
                        <a:prstGeom prst="rect">
                          <a:avLst/>
                        </a:prstGeom>
                        <a:solidFill>
                          <a:srgbClr val="FFFFFF"/>
                        </a:solidFill>
                        <a:ln w="9525">
                          <a:solidFill>
                            <a:srgbClr val="000000"/>
                          </a:solidFill>
                          <a:miter lim="800000"/>
                          <a:headEnd/>
                          <a:tailEnd/>
                        </a:ln>
                      </wps:spPr>
                      <wps:txbx>
                        <w:txbxContent>
                          <w:p w:rsidR="008D0243" w:rsidRDefault="008D0243">
                            <w:r w:rsidRPr="00A40E14">
                              <w:rPr>
                                <w:rFonts w:ascii="TitilliumRegular" w:eastAsia="Times New Roman" w:hAnsi="TitilliumRegular" w:cs="Arial"/>
                                <w:noProof/>
                                <w:color w:val="6D6D6D"/>
                                <w:sz w:val="24"/>
                                <w:szCs w:val="24"/>
                              </w:rPr>
                              <w:drawing>
                                <wp:inline distT="0" distB="0" distL="0" distR="0" wp14:anchorId="1FF5C166" wp14:editId="32092BD0">
                                  <wp:extent cx="3221842" cy="256032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7840" cy="2565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pt;width:268.8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qt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">
                <v:textbox>
                  <w:txbxContent>
                    <w:p w:rsidR="008D0243" w:rsidRDefault="008D0243">
                      <w:r w:rsidRPr="00A40E14">
                        <w:rPr>
                          <w:rFonts w:ascii="TitilliumRegular" w:eastAsia="Times New Roman" w:hAnsi="TitilliumRegular" w:cs="Arial"/>
                          <w:noProof/>
                          <w:color w:val="6D6D6D"/>
                          <w:sz w:val="24"/>
                          <w:szCs w:val="24"/>
                        </w:rPr>
                        <w:drawing>
                          <wp:inline distT="0" distB="0" distL="0" distR="0" wp14:anchorId="1FF5C166" wp14:editId="32092BD0">
                            <wp:extent cx="3221842" cy="256032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840" cy="2565086"/>
                                    </a:xfrm>
                                    <a:prstGeom prst="rect">
                                      <a:avLst/>
                                    </a:prstGeom>
                                    <a:noFill/>
                                    <a:ln>
                                      <a:noFill/>
                                    </a:ln>
                                  </pic:spPr>
                                </pic:pic>
                              </a:graphicData>
                            </a:graphic>
                          </wp:inline>
                        </w:drawing>
                      </w:r>
                    </w:p>
                  </w:txbxContent>
                </v:textbox>
                <w10:wrap type="square"/>
              </v:shape>
            </w:pict>
          </mc:Fallback>
        </mc:AlternateContent>
      </w:r>
      <w:r w:rsidR="00363A9B" w:rsidRPr="00363A9B">
        <w:rPr>
          <w:rFonts w:ascii="Arial" w:eastAsia="Calibri" w:hAnsi="Arial" w:cs="Arial"/>
          <w:b/>
          <w:sz w:val="28"/>
          <w:szCs w:val="28"/>
        </w:rPr>
        <w:t>Background of the case</w:t>
      </w: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Thomas Lee </w:t>
      </w:r>
      <w:proofErr w:type="spellStart"/>
      <w:r w:rsidRPr="008D0243">
        <w:rPr>
          <w:rFonts w:ascii="Arial" w:eastAsia="Times New Roman" w:hAnsi="Arial" w:cs="Arial"/>
          <w:color w:val="6D6D6D"/>
          <w:sz w:val="28"/>
          <w:szCs w:val="28"/>
        </w:rPr>
        <w:t>Causby</w:t>
      </w:r>
      <w:proofErr w:type="spellEnd"/>
      <w:r w:rsidRPr="008D0243">
        <w:rPr>
          <w:rFonts w:ascii="Arial" w:eastAsia="Times New Roman" w:hAnsi="Arial" w:cs="Arial"/>
          <w:color w:val="6D6D6D"/>
          <w:sz w:val="28"/>
          <w:szCs w:val="28"/>
        </w:rPr>
        <w:t xml:space="preserve"> owned a chicken farm outside of Greensboro, North Carolina. The farm was located near an airport used regularly by the United States military. According to </w:t>
      </w:r>
      <w:proofErr w:type="spellStart"/>
      <w:r w:rsidRPr="008D0243">
        <w:rPr>
          <w:rFonts w:ascii="Arial" w:eastAsia="Times New Roman" w:hAnsi="Arial" w:cs="Arial"/>
          <w:color w:val="6D6D6D"/>
          <w:sz w:val="28"/>
          <w:szCs w:val="28"/>
        </w:rPr>
        <w:t>Causby</w:t>
      </w:r>
      <w:proofErr w:type="spellEnd"/>
      <w:r w:rsidRPr="008D0243">
        <w:rPr>
          <w:rFonts w:ascii="Arial" w:eastAsia="Times New Roman" w:hAnsi="Arial" w:cs="Arial"/>
          <w:color w:val="6D6D6D"/>
          <w:sz w:val="28"/>
          <w:szCs w:val="28"/>
        </w:rPr>
        <w:t xml:space="preserve">, noise from the airport regularly frightened the animals on his farm, resulting in the deaths of several chickens. The problem became so severe that </w:t>
      </w:r>
      <w:proofErr w:type="spellStart"/>
      <w:r w:rsidRPr="008D0243">
        <w:rPr>
          <w:rFonts w:ascii="Arial" w:eastAsia="Times New Roman" w:hAnsi="Arial" w:cs="Arial"/>
          <w:color w:val="6D6D6D"/>
          <w:sz w:val="28"/>
          <w:szCs w:val="28"/>
        </w:rPr>
        <w:t>Causby</w:t>
      </w:r>
      <w:proofErr w:type="spellEnd"/>
      <w:r w:rsidRPr="008D0243">
        <w:rPr>
          <w:rFonts w:ascii="Arial" w:eastAsia="Times New Roman" w:hAnsi="Arial" w:cs="Arial"/>
          <w:color w:val="6D6D6D"/>
          <w:sz w:val="28"/>
          <w:szCs w:val="28"/>
        </w:rPr>
        <w:t xml:space="preserve"> was forced to abandon his business. </w:t>
      </w: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Under an ancient doctrine of the common law, land ownership extended to the space above and below the earth. Using this doctrine as a basis, </w:t>
      </w:r>
      <w:proofErr w:type="spellStart"/>
      <w:r w:rsidRPr="008D0243">
        <w:rPr>
          <w:rFonts w:ascii="Arial" w:eastAsia="Times New Roman" w:hAnsi="Arial" w:cs="Arial"/>
          <w:color w:val="6D6D6D"/>
          <w:sz w:val="28"/>
          <w:szCs w:val="28"/>
        </w:rPr>
        <w:t>Causby</w:t>
      </w:r>
      <w:proofErr w:type="spellEnd"/>
      <w:r w:rsidRPr="008D0243">
        <w:rPr>
          <w:rFonts w:ascii="Arial" w:eastAsia="Times New Roman" w:hAnsi="Arial" w:cs="Arial"/>
          <w:color w:val="6D6D6D"/>
          <w:sz w:val="28"/>
          <w:szCs w:val="28"/>
        </w:rPr>
        <w:t xml:space="preserve"> sued the United States, arguing that he owned the airspace above his farm. By flying planes in this airspace, he argued, the government had confiscated his property without compensation, thus violating the Takings Clause of the Fifth Amendment. The United States Court of Claims accepted </w:t>
      </w:r>
      <w:proofErr w:type="spellStart"/>
      <w:r w:rsidRPr="008D0243">
        <w:rPr>
          <w:rFonts w:ascii="Arial" w:eastAsia="Times New Roman" w:hAnsi="Arial" w:cs="Arial"/>
          <w:color w:val="6D6D6D"/>
          <w:sz w:val="28"/>
          <w:szCs w:val="28"/>
        </w:rPr>
        <w:t>Causby's</w:t>
      </w:r>
      <w:proofErr w:type="spellEnd"/>
      <w:r w:rsidRPr="008D0243">
        <w:rPr>
          <w:rFonts w:ascii="Arial" w:eastAsia="Times New Roman" w:hAnsi="Arial" w:cs="Arial"/>
          <w:color w:val="6D6D6D"/>
          <w:sz w:val="28"/>
          <w:szCs w:val="28"/>
        </w:rPr>
        <w:t xml:space="preserve"> argument, and ordered the government to pay compensation.</w:t>
      </w: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Did the flying of planes by the United States military over </w:t>
      </w:r>
      <w:proofErr w:type="spellStart"/>
      <w:r w:rsidRPr="008D0243">
        <w:rPr>
          <w:rFonts w:ascii="Arial" w:eastAsia="Times New Roman" w:hAnsi="Arial" w:cs="Arial"/>
          <w:color w:val="6D6D6D"/>
          <w:sz w:val="28"/>
          <w:szCs w:val="28"/>
        </w:rPr>
        <w:t>Causby's</w:t>
      </w:r>
      <w:proofErr w:type="spellEnd"/>
      <w:r w:rsidRPr="008D0243">
        <w:rPr>
          <w:rFonts w:ascii="Arial" w:eastAsia="Times New Roman" w:hAnsi="Arial" w:cs="Arial"/>
          <w:color w:val="6D6D6D"/>
          <w:sz w:val="28"/>
          <w:szCs w:val="28"/>
        </w:rPr>
        <w:t xml:space="preserve"> farm constitute a violation of the Takings Clause of the Fifth Amendment?</w:t>
      </w:r>
    </w:p>
    <w:p w:rsidR="00A40E14" w:rsidRPr="008D0243" w:rsidRDefault="008D0243"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How would you rule on this?</w:t>
      </w: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p>
    <w:p w:rsidR="00A40E14" w:rsidRDefault="00A40E14" w:rsidP="00A40E14">
      <w:pPr>
        <w:spacing w:before="100" w:beforeAutospacing="1" w:after="100" w:afterAutospacing="1" w:line="240" w:lineRule="auto"/>
        <w:rPr>
          <w:rFonts w:ascii="Arial" w:eastAsia="Times New Roman" w:hAnsi="Arial" w:cs="Arial"/>
          <w:color w:val="6D6D6D"/>
          <w:sz w:val="28"/>
          <w:szCs w:val="28"/>
        </w:rPr>
      </w:pPr>
    </w:p>
    <w:p w:rsidR="008D0243" w:rsidRDefault="008D0243" w:rsidP="00A40E14">
      <w:pPr>
        <w:spacing w:before="100" w:beforeAutospacing="1" w:after="100" w:afterAutospacing="1" w:line="240" w:lineRule="auto"/>
        <w:rPr>
          <w:rFonts w:ascii="Arial" w:eastAsia="Times New Roman" w:hAnsi="Arial" w:cs="Arial"/>
          <w:color w:val="6D6D6D"/>
          <w:sz w:val="28"/>
          <w:szCs w:val="28"/>
        </w:rPr>
      </w:pPr>
    </w:p>
    <w:p w:rsidR="008D0243" w:rsidRDefault="008D0243" w:rsidP="00A40E14">
      <w:pPr>
        <w:spacing w:before="100" w:beforeAutospacing="1" w:after="100" w:afterAutospacing="1" w:line="240" w:lineRule="auto"/>
        <w:rPr>
          <w:rFonts w:ascii="Arial" w:eastAsia="Times New Roman" w:hAnsi="Arial" w:cs="Arial"/>
          <w:color w:val="6D6D6D"/>
          <w:sz w:val="28"/>
          <w:szCs w:val="28"/>
        </w:rPr>
      </w:pPr>
    </w:p>
    <w:p w:rsidR="008D0243" w:rsidRDefault="008D0243" w:rsidP="00A40E14">
      <w:pPr>
        <w:spacing w:before="100" w:beforeAutospacing="1" w:after="100" w:afterAutospacing="1" w:line="240" w:lineRule="auto"/>
        <w:rPr>
          <w:rFonts w:ascii="Arial" w:eastAsia="Times New Roman" w:hAnsi="Arial" w:cs="Arial"/>
          <w:color w:val="6D6D6D"/>
          <w:sz w:val="28"/>
          <w:szCs w:val="28"/>
        </w:rPr>
      </w:pPr>
    </w:p>
    <w:p w:rsidR="008D0243" w:rsidRPr="008D0243" w:rsidRDefault="008D0243" w:rsidP="00A40E14">
      <w:pPr>
        <w:spacing w:before="100" w:beforeAutospacing="1" w:after="100" w:afterAutospacing="1" w:line="240" w:lineRule="auto"/>
        <w:rPr>
          <w:rFonts w:ascii="Arial" w:eastAsia="Times New Roman" w:hAnsi="Arial" w:cs="Arial"/>
          <w:color w:val="6D6D6D"/>
          <w:sz w:val="28"/>
          <w:szCs w:val="28"/>
        </w:rPr>
      </w:pPr>
    </w:p>
    <w:p w:rsidR="00363A9B" w:rsidRPr="00363A9B" w:rsidRDefault="00363A9B" w:rsidP="00363A9B">
      <w:pPr>
        <w:spacing w:after="200" w:line="276" w:lineRule="auto"/>
        <w:rPr>
          <w:rFonts w:ascii="Arial" w:eastAsia="Calibri" w:hAnsi="Arial" w:cs="Arial"/>
          <w:b/>
          <w:sz w:val="28"/>
          <w:szCs w:val="28"/>
        </w:rPr>
      </w:pPr>
      <w:r w:rsidRPr="00363A9B">
        <w:rPr>
          <w:rFonts w:ascii="Arial" w:eastAsia="Calibri" w:hAnsi="Arial" w:cs="Arial"/>
          <w:b/>
          <w:sz w:val="28"/>
          <w:szCs w:val="28"/>
        </w:rPr>
        <w:lastRenderedPageBreak/>
        <w:t>The court's decision</w:t>
      </w: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p>
    <w:p w:rsidR="00A40E14" w:rsidRPr="008D0243" w:rsidRDefault="00A40E14"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In a 5-2 opinion authored by Justice William O. Douglas, the Court concluded that the ancient common law doctrine "has no place in the modern world." </w:t>
      </w:r>
      <w:r w:rsidRPr="00A40E14">
        <w:rPr>
          <w:rFonts w:ascii="Arial" w:eastAsia="Times New Roman" w:hAnsi="Arial" w:cs="Arial"/>
          <w:color w:val="6D6D6D"/>
          <w:sz w:val="28"/>
          <w:szCs w:val="28"/>
        </w:rPr>
        <w:t>The courts ruled that though landowners do own the air immediately above the property, they don’t own the air infinitely up</w:t>
      </w:r>
      <w:r w:rsidR="00363A9B" w:rsidRPr="008D0243">
        <w:rPr>
          <w:rFonts w:ascii="Arial" w:eastAsia="Times New Roman" w:hAnsi="Arial" w:cs="Arial"/>
          <w:color w:val="6D6D6D"/>
          <w:sz w:val="28"/>
          <w:szCs w:val="28"/>
        </w:rPr>
        <w:t>ward</w:t>
      </w:r>
      <w:r w:rsidRPr="00A40E14">
        <w:rPr>
          <w:rFonts w:ascii="Arial" w:eastAsia="Times New Roman" w:hAnsi="Arial" w:cs="Arial"/>
          <w:color w:val="6D6D6D"/>
          <w:sz w:val="28"/>
          <w:szCs w:val="28"/>
        </w:rPr>
        <w:t xml:space="preserve">. </w:t>
      </w:r>
    </w:p>
    <w:p w:rsidR="00363A9B" w:rsidRPr="008D0243" w:rsidRDefault="00363A9B"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Justice Douglas noted that, were the Court to accept the doctrine as valid, "every transcontinental flight would subject the operator to countless trespass suits. </w:t>
      </w:r>
    </w:p>
    <w:p w:rsidR="00363A9B" w:rsidRPr="00A40E14" w:rsidRDefault="00363A9B"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 xml:space="preserve">However, while the Court rejected the unlimited reach above and below the earth described in the common law doctrine, it also ruled that, "if the landowner is to have full enjoyment of the land, he must have exclusive control of the immediate reaches of the enveloping atmosphere." Without defining a specific limit, the Court stated that flights over the land could be considered a violation of the Takings Clause if they led to "a direct and immediate interference with the enjoyment and use of the land." Given the damage caused by the particularly low, frequent flights over his farm, the Court determined that the government had violated </w:t>
      </w:r>
      <w:proofErr w:type="spellStart"/>
      <w:r w:rsidRPr="008D0243">
        <w:rPr>
          <w:rFonts w:ascii="Arial" w:eastAsia="Times New Roman" w:hAnsi="Arial" w:cs="Arial"/>
          <w:color w:val="6D6D6D"/>
          <w:sz w:val="28"/>
          <w:szCs w:val="28"/>
        </w:rPr>
        <w:t>Causby's</w:t>
      </w:r>
      <w:proofErr w:type="spellEnd"/>
      <w:r w:rsidRPr="008D0243">
        <w:rPr>
          <w:rFonts w:ascii="Arial" w:eastAsia="Times New Roman" w:hAnsi="Arial" w:cs="Arial"/>
          <w:color w:val="6D6D6D"/>
          <w:sz w:val="28"/>
          <w:szCs w:val="28"/>
        </w:rPr>
        <w:t xml:space="preserve"> rights, and he was entitled to compensation.</w:t>
      </w:r>
    </w:p>
    <w:p w:rsidR="00A40E14" w:rsidRPr="00A40E14" w:rsidRDefault="00A40E14" w:rsidP="00A40E14">
      <w:pPr>
        <w:spacing w:before="100" w:beforeAutospacing="1" w:after="100" w:afterAutospacing="1" w:line="240" w:lineRule="auto"/>
        <w:rPr>
          <w:rFonts w:ascii="Arial" w:eastAsia="Times New Roman" w:hAnsi="Arial" w:cs="Arial"/>
          <w:color w:val="6D6D6D"/>
          <w:sz w:val="28"/>
          <w:szCs w:val="28"/>
        </w:rPr>
      </w:pPr>
      <w:r w:rsidRPr="00A40E14">
        <w:rPr>
          <w:rFonts w:ascii="Arial" w:eastAsia="Times New Roman" w:hAnsi="Arial" w:cs="Arial"/>
          <w:color w:val="6D6D6D"/>
          <w:sz w:val="28"/>
          <w:szCs w:val="28"/>
        </w:rPr>
        <w:t>This changed the amount of space that a landowner owns above his or her property from “infinite” to the “safe d</w:t>
      </w:r>
      <w:r w:rsidR="00363A9B" w:rsidRPr="008D0243">
        <w:rPr>
          <w:rFonts w:ascii="Arial" w:eastAsia="Times New Roman" w:hAnsi="Arial" w:cs="Arial"/>
          <w:color w:val="6D6D6D"/>
          <w:sz w:val="28"/>
          <w:szCs w:val="28"/>
        </w:rPr>
        <w:t>istance as to which various air</w:t>
      </w:r>
      <w:r w:rsidRPr="00A40E14">
        <w:rPr>
          <w:rFonts w:ascii="Arial" w:eastAsia="Times New Roman" w:hAnsi="Arial" w:cs="Arial"/>
          <w:color w:val="6D6D6D"/>
          <w:sz w:val="28"/>
          <w:szCs w:val="28"/>
        </w:rPr>
        <w:t>planes could take off and land near the proper</w:t>
      </w:r>
      <w:r w:rsidR="00363A9B" w:rsidRPr="008D0243">
        <w:rPr>
          <w:rFonts w:ascii="Arial" w:eastAsia="Times New Roman" w:hAnsi="Arial" w:cs="Arial"/>
          <w:color w:val="6D6D6D"/>
          <w:sz w:val="28"/>
          <w:szCs w:val="28"/>
        </w:rPr>
        <w:t xml:space="preserve">ty.” That distance is 300–1,000 </w:t>
      </w:r>
      <w:proofErr w:type="spellStart"/>
      <w:r w:rsidR="00363A9B" w:rsidRPr="008D0243">
        <w:rPr>
          <w:rFonts w:ascii="Arial" w:eastAsia="Times New Roman" w:hAnsi="Arial" w:cs="Arial"/>
          <w:color w:val="6D6D6D"/>
          <w:sz w:val="28"/>
          <w:szCs w:val="28"/>
        </w:rPr>
        <w:t>ft</w:t>
      </w:r>
      <w:proofErr w:type="spellEnd"/>
      <w:r w:rsidRPr="00A40E14">
        <w:rPr>
          <w:rFonts w:ascii="Arial" w:eastAsia="Times New Roman" w:hAnsi="Arial" w:cs="Arial"/>
          <w:color w:val="6D6D6D"/>
          <w:sz w:val="28"/>
          <w:szCs w:val="28"/>
        </w:rPr>
        <w:t xml:space="preserve">, depending on the type of aircraft and whether it is day or night. </w:t>
      </w:r>
    </w:p>
    <w:p w:rsidR="00363A9B" w:rsidRPr="008D0243" w:rsidRDefault="00A40E14" w:rsidP="00A40E14">
      <w:pPr>
        <w:spacing w:before="100" w:beforeAutospacing="1" w:after="100" w:afterAutospacing="1" w:line="240" w:lineRule="auto"/>
        <w:rPr>
          <w:rFonts w:ascii="Arial" w:eastAsia="Times New Roman" w:hAnsi="Arial" w:cs="Arial"/>
          <w:color w:val="6D6D6D"/>
          <w:sz w:val="28"/>
          <w:szCs w:val="28"/>
        </w:rPr>
      </w:pPr>
      <w:r w:rsidRPr="00A40E14">
        <w:rPr>
          <w:rFonts w:ascii="Arial" w:eastAsia="Times New Roman" w:hAnsi="Arial" w:cs="Arial"/>
          <w:color w:val="6D6D6D"/>
          <w:sz w:val="28"/>
          <w:szCs w:val="28"/>
        </w:rPr>
        <w:t xml:space="preserve">The planes over </w:t>
      </w:r>
      <w:proofErr w:type="spellStart"/>
      <w:r w:rsidRPr="00A40E14">
        <w:rPr>
          <w:rFonts w:ascii="Arial" w:eastAsia="Times New Roman" w:hAnsi="Arial" w:cs="Arial"/>
          <w:color w:val="6D6D6D"/>
          <w:sz w:val="28"/>
          <w:szCs w:val="28"/>
        </w:rPr>
        <w:t>Causby’s</w:t>
      </w:r>
      <w:proofErr w:type="spellEnd"/>
      <w:r w:rsidRPr="00A40E14">
        <w:rPr>
          <w:rFonts w:ascii="Arial" w:eastAsia="Times New Roman" w:hAnsi="Arial" w:cs="Arial"/>
          <w:color w:val="6D6D6D"/>
          <w:sz w:val="28"/>
          <w:szCs w:val="28"/>
        </w:rPr>
        <w:t xml:space="preserve"> farm flew below that mark, so </w:t>
      </w:r>
      <w:proofErr w:type="spellStart"/>
      <w:r w:rsidRPr="00A40E14">
        <w:rPr>
          <w:rFonts w:ascii="Arial" w:eastAsia="Times New Roman" w:hAnsi="Arial" w:cs="Arial"/>
          <w:color w:val="6D6D6D"/>
          <w:sz w:val="28"/>
          <w:szCs w:val="28"/>
        </w:rPr>
        <w:t>Causby</w:t>
      </w:r>
      <w:proofErr w:type="spellEnd"/>
      <w:r w:rsidRPr="00A40E14">
        <w:rPr>
          <w:rFonts w:ascii="Arial" w:eastAsia="Times New Roman" w:hAnsi="Arial" w:cs="Arial"/>
          <w:color w:val="6D6D6D"/>
          <w:sz w:val="28"/>
          <w:szCs w:val="28"/>
        </w:rPr>
        <w:t xml:space="preserve"> received compensation from the government and won his case. But the government received a win in return, one that had little basis in the existing letter of the law but that enabled air travel as we know it. </w:t>
      </w:r>
    </w:p>
    <w:p w:rsidR="00A40E14" w:rsidRPr="00A40E14" w:rsidRDefault="00A40E14" w:rsidP="00A40E14">
      <w:pPr>
        <w:spacing w:before="100" w:beforeAutospacing="1" w:after="100" w:afterAutospacing="1" w:line="240" w:lineRule="auto"/>
        <w:rPr>
          <w:rFonts w:ascii="TitilliumRegular" w:eastAsia="Times New Roman" w:hAnsi="TitilliumRegular" w:cs="Arial"/>
          <w:color w:val="6D6D6D"/>
          <w:sz w:val="24"/>
          <w:szCs w:val="24"/>
        </w:rPr>
      </w:pPr>
      <w:r w:rsidRPr="00A40E14">
        <w:rPr>
          <w:rFonts w:ascii="Arial" w:eastAsia="Times New Roman" w:hAnsi="Arial" w:cs="Arial"/>
          <w:color w:val="6D6D6D"/>
          <w:sz w:val="28"/>
          <w:szCs w:val="28"/>
        </w:rPr>
        <w:t xml:space="preserve">Without this ruling, airlines would have to apply for </w:t>
      </w:r>
      <w:hyperlink r:id="rId6" w:tgtFrame="_blank" w:history="1">
        <w:r w:rsidRPr="00A40E14">
          <w:rPr>
            <w:rFonts w:ascii="Arial" w:eastAsia="Times New Roman" w:hAnsi="Arial" w:cs="Arial"/>
            <w:color w:val="6D6D6D"/>
            <w:sz w:val="28"/>
            <w:szCs w:val="28"/>
          </w:rPr>
          <w:t>tens of thousands of permits</w:t>
        </w:r>
      </w:hyperlink>
      <w:r w:rsidRPr="00A40E14">
        <w:rPr>
          <w:rFonts w:ascii="Arial" w:eastAsia="Times New Roman" w:hAnsi="Arial" w:cs="Arial"/>
          <w:color w:val="6D6D6D"/>
          <w:sz w:val="28"/>
          <w:szCs w:val="28"/>
        </w:rPr>
        <w:t xml:space="preserve"> for any long-distance flight</w:t>
      </w:r>
      <w:r w:rsidRPr="00A40E14">
        <w:rPr>
          <w:rFonts w:ascii="TitilliumRegular" w:eastAsia="Times New Roman" w:hAnsi="TitilliumRegular" w:cs="Arial"/>
          <w:color w:val="6D6D6D"/>
          <w:sz w:val="24"/>
          <w:szCs w:val="24"/>
        </w:rPr>
        <w:t>.</w:t>
      </w:r>
    </w:p>
    <w:p w:rsidR="007E1FAD" w:rsidRDefault="007E1FAD"/>
    <w:sectPr w:rsidR="007E1FAD"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tillium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4"/>
    <w:rsid w:val="00220651"/>
    <w:rsid w:val="00254352"/>
    <w:rsid w:val="00363A9B"/>
    <w:rsid w:val="007E1FAD"/>
    <w:rsid w:val="008D0243"/>
    <w:rsid w:val="00A4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F2C-86CF-494A-B12B-549A075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me.justia.com/cases/federal/us/328/256/case.html"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2017-09-10T22:42:00Z</dcterms:created>
  <dcterms:modified xsi:type="dcterms:W3CDTF">2017-09-10T22:42:00Z</dcterms:modified>
</cp:coreProperties>
</file>